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C5EF" w14:textId="77777777" w:rsidR="00D61268" w:rsidRPr="00F45C38" w:rsidRDefault="00D61268" w:rsidP="00D61268">
      <w:pPr>
        <w:jc w:val="center"/>
        <w:rPr>
          <w:rFonts w:ascii="Bookman Old Style" w:hAnsi="Bookman Old Style"/>
          <w:b/>
          <w:sz w:val="24"/>
          <w:szCs w:val="24"/>
        </w:rPr>
      </w:pPr>
      <w:r w:rsidRPr="00CB110D">
        <w:rPr>
          <w:rFonts w:ascii="Bookman Old Style" w:hAnsi="Bookman Old Style"/>
          <w:b/>
          <w:sz w:val="24"/>
          <w:szCs w:val="24"/>
        </w:rPr>
        <w:t>Tabel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Evaluasi Kemajuan Penerapan</w:t>
      </w:r>
      <w:r w:rsidRPr="00F45C38">
        <w:rPr>
          <w:rFonts w:ascii="Bookman Old Style" w:hAnsi="Bookman Old Style"/>
          <w:b/>
          <w:sz w:val="24"/>
          <w:szCs w:val="24"/>
        </w:rPr>
        <w:t xml:space="preserve"> SPM-FP</w:t>
      </w:r>
    </w:p>
    <w:p w14:paraId="7B0A6BEA" w14:textId="77777777" w:rsidR="00D61268" w:rsidRPr="00F45C38" w:rsidRDefault="00D61268" w:rsidP="00D61268">
      <w:pPr>
        <w:jc w:val="center"/>
        <w:rPr>
          <w:rFonts w:ascii="Bookman Old Style" w:hAnsi="Bookman Old Style"/>
          <w:b/>
          <w:sz w:val="24"/>
          <w:szCs w:val="24"/>
        </w:rPr>
      </w:pPr>
      <w:r w:rsidRPr="00F45C38">
        <w:rPr>
          <w:rFonts w:ascii="Bookman Old Style" w:hAnsi="Bookman Old Style"/>
          <w:b/>
          <w:sz w:val="24"/>
          <w:szCs w:val="24"/>
        </w:rPr>
        <w:t>Paket A</w:t>
      </w:r>
    </w:p>
    <w:p w14:paraId="59DAE738" w14:textId="77777777" w:rsidR="00D61268" w:rsidRPr="00C634FE" w:rsidRDefault="00D61268" w:rsidP="00D61268">
      <w:pPr>
        <w:jc w:val="center"/>
        <w:rPr>
          <w:rFonts w:ascii="Bookman Old Style" w:hAnsi="Bookman Old Style"/>
          <w:b/>
          <w:sz w:val="15"/>
          <w:szCs w:val="15"/>
        </w:rPr>
      </w:pPr>
    </w:p>
    <w:p w14:paraId="3DE528E2" w14:textId="77777777" w:rsidR="00D61268" w:rsidRPr="00B665F5" w:rsidRDefault="00D61268" w:rsidP="00D6126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B665F5">
        <w:rPr>
          <w:rFonts w:ascii="Bookman Old Style" w:hAnsi="Bookman Old Style"/>
          <w:sz w:val="18"/>
          <w:szCs w:val="18"/>
        </w:rPr>
        <w:t>Nama Fasilitas Publik</w:t>
      </w:r>
      <w:r w:rsidRPr="00B665F5">
        <w:rPr>
          <w:rFonts w:ascii="Bookman Old Style" w:hAnsi="Bookman Old Style"/>
          <w:sz w:val="18"/>
          <w:szCs w:val="18"/>
        </w:rPr>
        <w:tab/>
        <w:t>:</w:t>
      </w:r>
    </w:p>
    <w:p w14:paraId="1B5E4244" w14:textId="31D3C6D0" w:rsidR="00D61268" w:rsidRPr="00B665F5" w:rsidRDefault="00D61268" w:rsidP="00D61268">
      <w:pPr>
        <w:spacing w:line="360" w:lineRule="auto"/>
        <w:rPr>
          <w:rFonts w:ascii="Bookman Old Style" w:hAnsi="Bookman Old Style"/>
          <w:color w:val="808080" w:themeColor="background1" w:themeShade="80"/>
          <w:sz w:val="18"/>
          <w:szCs w:val="18"/>
        </w:rPr>
      </w:pPr>
      <w:r w:rsidRPr="00B665F5">
        <w:rPr>
          <w:rFonts w:ascii="Bookman Old Style" w:hAnsi="Bookman Old Style"/>
          <w:sz w:val="18"/>
          <w:szCs w:val="18"/>
        </w:rPr>
        <w:t>Hari, Tanggal Penilaian</w:t>
      </w:r>
      <w:r w:rsidRPr="00B665F5">
        <w:rPr>
          <w:rFonts w:ascii="Bookman Old Style" w:hAnsi="Bookman Old Style"/>
          <w:sz w:val="18"/>
          <w:szCs w:val="18"/>
        </w:rPr>
        <w:tab/>
        <w:t>:</w:t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color w:val="808080" w:themeColor="background1" w:themeShade="80"/>
          <w:sz w:val="18"/>
          <w:szCs w:val="18"/>
        </w:rPr>
        <w:t>(misal : Sabtu, 14 Oktober 2017 )</w:t>
      </w:r>
    </w:p>
    <w:p w14:paraId="0A20EE38" w14:textId="77777777" w:rsidR="00D61268" w:rsidRPr="00B665F5" w:rsidRDefault="00D61268" w:rsidP="00D61268">
      <w:pPr>
        <w:spacing w:line="360" w:lineRule="auto"/>
        <w:rPr>
          <w:rFonts w:ascii="Bookman Old Style" w:hAnsi="Bookman Old Style"/>
          <w:color w:val="808080" w:themeColor="background1" w:themeShade="8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Nama/Jabatan p</w:t>
      </w:r>
      <w:r w:rsidRPr="00B665F5">
        <w:rPr>
          <w:rFonts w:ascii="Bookman Old Style" w:hAnsi="Bookman Old Style"/>
          <w:sz w:val="18"/>
          <w:szCs w:val="18"/>
        </w:rPr>
        <w:t>enilai</w:t>
      </w:r>
      <w:r w:rsidRPr="00B665F5">
        <w:rPr>
          <w:rFonts w:ascii="Bookman Old Style" w:hAnsi="Bookman Old Style"/>
          <w:sz w:val="18"/>
          <w:szCs w:val="18"/>
        </w:rPr>
        <w:tab/>
        <w:t xml:space="preserve">: </w:t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sz w:val="18"/>
          <w:szCs w:val="18"/>
        </w:rPr>
        <w:tab/>
      </w:r>
      <w:r w:rsidRPr="00B665F5">
        <w:rPr>
          <w:rFonts w:ascii="Bookman Old Style" w:hAnsi="Bookman Old Style"/>
          <w:color w:val="808080" w:themeColor="background1" w:themeShade="80"/>
          <w:sz w:val="18"/>
          <w:szCs w:val="18"/>
        </w:rPr>
        <w:t xml:space="preserve">(misal : </w:t>
      </w:r>
      <w:r>
        <w:rPr>
          <w:rFonts w:ascii="Bookman Old Style" w:hAnsi="Bookman Old Style"/>
          <w:color w:val="808080" w:themeColor="background1" w:themeShade="80"/>
          <w:sz w:val="18"/>
          <w:szCs w:val="18"/>
        </w:rPr>
        <w:t>Suhendro</w:t>
      </w:r>
      <w:r w:rsidRPr="00B665F5">
        <w:rPr>
          <w:rFonts w:ascii="Bookman Old Style" w:hAnsi="Bookman Old Style"/>
          <w:color w:val="808080" w:themeColor="background1" w:themeShade="80"/>
          <w:sz w:val="18"/>
          <w:szCs w:val="18"/>
        </w:rPr>
        <w:t>/</w:t>
      </w:r>
      <w:r>
        <w:rPr>
          <w:rFonts w:ascii="Bookman Old Style" w:hAnsi="Bookman Old Style"/>
          <w:color w:val="808080" w:themeColor="background1" w:themeShade="80"/>
          <w:sz w:val="18"/>
          <w:szCs w:val="18"/>
        </w:rPr>
        <w:t>Staf Keuangan</w:t>
      </w:r>
      <w:r w:rsidRPr="00B665F5">
        <w:rPr>
          <w:rFonts w:ascii="Bookman Old Style" w:hAnsi="Bookman Old Style"/>
          <w:color w:val="808080" w:themeColor="background1" w:themeShade="80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115"/>
        <w:gridCol w:w="2469"/>
        <w:gridCol w:w="1292"/>
        <w:gridCol w:w="706"/>
        <w:gridCol w:w="1174"/>
        <w:gridCol w:w="3175"/>
        <w:gridCol w:w="1350"/>
      </w:tblGrid>
      <w:tr w:rsidR="00D61268" w:rsidRPr="00B665F5" w14:paraId="0A4D0EE1" w14:textId="77777777" w:rsidTr="00004318">
        <w:trPr>
          <w:trHeight w:val="458"/>
          <w:tblHeader/>
        </w:trPr>
        <w:tc>
          <w:tcPr>
            <w:tcW w:w="598" w:type="pct"/>
            <w:shd w:val="clear" w:color="auto" w:fill="BFBFBF"/>
            <w:vAlign w:val="center"/>
          </w:tcPr>
          <w:p w14:paraId="2C5F80B5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Substansi Teknis</w:t>
            </w:r>
          </w:p>
        </w:tc>
        <w:tc>
          <w:tcPr>
            <w:tcW w:w="758" w:type="pct"/>
            <w:shd w:val="clear" w:color="auto" w:fill="BFBFBF"/>
            <w:vAlign w:val="center"/>
          </w:tcPr>
          <w:p w14:paraId="66D97997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Komponen substansi teknis</w:t>
            </w:r>
          </w:p>
        </w:tc>
        <w:tc>
          <w:tcPr>
            <w:tcW w:w="885" w:type="pct"/>
            <w:shd w:val="clear" w:color="auto" w:fill="BFBFBF"/>
            <w:vAlign w:val="center"/>
          </w:tcPr>
          <w:p w14:paraId="401A8DE4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Kriteria</w:t>
            </w:r>
          </w:p>
        </w:tc>
        <w:tc>
          <w:tcPr>
            <w:tcW w:w="463" w:type="pct"/>
            <w:shd w:val="clear" w:color="auto" w:fill="BFBFBF"/>
            <w:vAlign w:val="center"/>
          </w:tcPr>
          <w:p w14:paraId="55C23D37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No. Kriteria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17B35B92" w14:textId="77777777" w:rsidR="00D61268" w:rsidRPr="00B665F5" w:rsidRDefault="00D61268" w:rsidP="00004318">
            <w:pPr>
              <w:tabs>
                <w:tab w:val="left" w:pos="79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Ya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56CCBBCA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Tidak</w:t>
            </w:r>
          </w:p>
        </w:tc>
        <w:tc>
          <w:tcPr>
            <w:tcW w:w="1138" w:type="pct"/>
            <w:shd w:val="clear" w:color="auto" w:fill="BFBFBF"/>
            <w:vAlign w:val="center"/>
          </w:tcPr>
          <w:p w14:paraId="074D26BA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Hal yang dinilai</w:t>
            </w:r>
          </w:p>
        </w:tc>
        <w:tc>
          <w:tcPr>
            <w:tcW w:w="484" w:type="pct"/>
            <w:shd w:val="clear" w:color="auto" w:fill="BFBFBF"/>
            <w:vAlign w:val="center"/>
          </w:tcPr>
          <w:p w14:paraId="35D36817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Catatan</w:t>
            </w:r>
          </w:p>
        </w:tc>
      </w:tr>
      <w:tr w:rsidR="00D61268" w:rsidRPr="00B665F5" w14:paraId="2D6F36CD" w14:textId="77777777" w:rsidTr="00004318">
        <w:trPr>
          <w:tblHeader/>
        </w:trPr>
        <w:tc>
          <w:tcPr>
            <w:tcW w:w="598" w:type="pct"/>
            <w:shd w:val="clear" w:color="auto" w:fill="BFBFBF" w:themeFill="background1" w:themeFillShade="BF"/>
          </w:tcPr>
          <w:p w14:paraId="49407D05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758" w:type="pct"/>
            <w:shd w:val="clear" w:color="auto" w:fill="BFBFBF" w:themeFill="background1" w:themeFillShade="BF"/>
          </w:tcPr>
          <w:p w14:paraId="4A08F3E5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885" w:type="pct"/>
            <w:shd w:val="clear" w:color="auto" w:fill="BFBFBF" w:themeFill="background1" w:themeFillShade="BF"/>
          </w:tcPr>
          <w:p w14:paraId="5481722E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</w:tcPr>
          <w:p w14:paraId="05062E53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BFBFBF" w:themeFill="background1" w:themeFillShade="BF"/>
          </w:tcPr>
          <w:p w14:paraId="592BD0EF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</w:p>
        </w:tc>
        <w:tc>
          <w:tcPr>
            <w:tcW w:w="421" w:type="pct"/>
            <w:shd w:val="clear" w:color="auto" w:fill="BFBFBF" w:themeFill="background1" w:themeFillShade="BF"/>
          </w:tcPr>
          <w:p w14:paraId="00FB562B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6</w:t>
            </w:r>
          </w:p>
        </w:tc>
        <w:tc>
          <w:tcPr>
            <w:tcW w:w="1138" w:type="pct"/>
            <w:shd w:val="clear" w:color="auto" w:fill="BFBFBF" w:themeFill="background1" w:themeFillShade="BF"/>
          </w:tcPr>
          <w:p w14:paraId="45254DF8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484" w:type="pct"/>
            <w:shd w:val="clear" w:color="auto" w:fill="BFBFBF" w:themeFill="background1" w:themeFillShade="BF"/>
          </w:tcPr>
          <w:p w14:paraId="432CEC3A" w14:textId="77777777" w:rsidR="00D61268" w:rsidRPr="0006582A" w:rsidRDefault="00D61268" w:rsidP="0000431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582A"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</w:p>
        </w:tc>
      </w:tr>
      <w:tr w:rsidR="00D61268" w:rsidRPr="00B665F5" w14:paraId="63D949B0" w14:textId="77777777" w:rsidTr="00004318">
        <w:tc>
          <w:tcPr>
            <w:tcW w:w="598" w:type="pct"/>
            <w:vMerge w:val="restart"/>
            <w:shd w:val="clear" w:color="auto" w:fill="auto"/>
          </w:tcPr>
          <w:p w14:paraId="1E96262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1. Efisiensi energi</w:t>
            </w:r>
          </w:p>
        </w:tc>
        <w:tc>
          <w:tcPr>
            <w:tcW w:w="758" w:type="pct"/>
            <w:vMerge w:val="restart"/>
            <w:shd w:val="clear" w:color="auto" w:fill="auto"/>
          </w:tcPr>
          <w:p w14:paraId="0141505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1.1 Mengurangi konsumsi daya listrik </w:t>
            </w:r>
          </w:p>
        </w:tc>
        <w:tc>
          <w:tcPr>
            <w:tcW w:w="885" w:type="pct"/>
            <w:shd w:val="clear" w:color="auto" w:fill="auto"/>
          </w:tcPr>
          <w:p w14:paraId="41B34A8E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1.1.c. Tersedianya informasi mengenai langkah penghematan daya listrik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6401197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32EF914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2BA5B002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0E5DF45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mengenai langkah penghematan daya listrik. Informasi lisan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4572E57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5CA15F51" w14:textId="77777777" w:rsidTr="00004318">
        <w:tc>
          <w:tcPr>
            <w:tcW w:w="598" w:type="pct"/>
            <w:vMerge/>
            <w:shd w:val="clear" w:color="auto" w:fill="auto"/>
          </w:tcPr>
          <w:p w14:paraId="21ECC7C5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13B89A7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14:paraId="2C09E50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1.1.d. Tersedianya  panduan kepada pengunjung mengenai perilaku hemat energi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2A305D2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14:paraId="13231472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43D41402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3A106C3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Kegiatan pemanduan dilakukan minimal 4 kali dalam sebulan. Hal itu dibuktikan dengan dokumentasi. </w:t>
            </w:r>
          </w:p>
        </w:tc>
        <w:tc>
          <w:tcPr>
            <w:tcW w:w="484" w:type="pct"/>
            <w:shd w:val="clear" w:color="auto" w:fill="auto"/>
          </w:tcPr>
          <w:p w14:paraId="23144B81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6EF66A49" w14:textId="77777777" w:rsidTr="00004318">
        <w:tc>
          <w:tcPr>
            <w:tcW w:w="598" w:type="pct"/>
            <w:vMerge/>
            <w:shd w:val="clear" w:color="auto" w:fill="auto"/>
          </w:tcPr>
          <w:p w14:paraId="35D27CE5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</w:tcPr>
          <w:p w14:paraId="670E2831" w14:textId="77777777" w:rsidR="00D61268" w:rsidRPr="00B665F5" w:rsidRDefault="00D61268" w:rsidP="00D61268">
            <w:pPr>
              <w:pStyle w:val="ListParagraph"/>
              <w:numPr>
                <w:ilvl w:val="1"/>
                <w:numId w:val="1"/>
              </w:numPr>
              <w:tabs>
                <w:tab w:val="left" w:pos="354"/>
              </w:tabs>
              <w:spacing w:after="200"/>
              <w:ind w:left="0" w:firstLine="0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Menggunakan alat elektronik dan/atau mesin yang hemat energi dan ramah lingkungan</w:t>
            </w:r>
          </w:p>
        </w:tc>
        <w:tc>
          <w:tcPr>
            <w:tcW w:w="885" w:type="pct"/>
            <w:shd w:val="clear" w:color="auto" w:fill="auto"/>
          </w:tcPr>
          <w:p w14:paraId="2528D93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1.2.c. Tersedianya informasi mengenai peralatan elektronik dan/atau mesin yang hemat energi dan ramah lingkungan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B20C3CE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14:paraId="2304869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7FACE12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264707F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0E08497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5B86B60B" w14:textId="77777777" w:rsidTr="00004318">
        <w:tc>
          <w:tcPr>
            <w:tcW w:w="598" w:type="pct"/>
            <w:vMerge w:val="restart"/>
            <w:shd w:val="clear" w:color="auto" w:fill="auto"/>
          </w:tcPr>
          <w:p w14:paraId="7E58647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2. Efisiensi air</w:t>
            </w:r>
          </w:p>
        </w:tc>
        <w:tc>
          <w:tcPr>
            <w:tcW w:w="758" w:type="pct"/>
            <w:shd w:val="clear" w:color="auto" w:fill="auto"/>
          </w:tcPr>
          <w:p w14:paraId="2013CD8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2.1  Mengurangi konsumsi air</w:t>
            </w:r>
          </w:p>
        </w:tc>
        <w:tc>
          <w:tcPr>
            <w:tcW w:w="885" w:type="pct"/>
            <w:shd w:val="clear" w:color="auto" w:fill="auto"/>
          </w:tcPr>
          <w:p w14:paraId="32C07DD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2.1.c. Tersedianya informasi mengenai langkah penghematan konsumsi air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DA8C474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14:paraId="6E8548B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0A4385A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5B6A096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0DF718FF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137E2B4C" w14:textId="77777777" w:rsidTr="00004318">
        <w:tc>
          <w:tcPr>
            <w:tcW w:w="598" w:type="pct"/>
            <w:vMerge/>
            <w:shd w:val="clear" w:color="auto" w:fill="auto"/>
          </w:tcPr>
          <w:p w14:paraId="5A02A1CE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</w:tcPr>
          <w:p w14:paraId="3206459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2.2. Menggunakan alat sanitasi yang hemat konsumsi air</w:t>
            </w:r>
          </w:p>
        </w:tc>
        <w:tc>
          <w:tcPr>
            <w:tcW w:w="885" w:type="pct"/>
            <w:shd w:val="clear" w:color="auto" w:fill="auto"/>
          </w:tcPr>
          <w:p w14:paraId="35A7641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2.2.c. Tersedianya informasi mengenai alat sanitasi yang hemat konsumsi air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1B81B86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14:paraId="3F04DAF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3851162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19CC1A55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461AF6E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0DD5D6DE" w14:textId="77777777" w:rsidTr="00004318">
        <w:trPr>
          <w:trHeight w:val="834"/>
        </w:trPr>
        <w:tc>
          <w:tcPr>
            <w:tcW w:w="598" w:type="pct"/>
            <w:vMerge/>
            <w:shd w:val="clear" w:color="auto" w:fill="auto"/>
          </w:tcPr>
          <w:p w14:paraId="6A4FCB5D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123996F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14:paraId="46603B1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2.2.d. Tersedianya panduan kepada pengunjung mengenai perilaku hemat air dan pengelolaan air limbah  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4C7F39D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14:paraId="35D9BD7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7D45E8DF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7E03BC21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Tersedia panduan kepada pengunjung mengenai perilaku hemat air .</w:t>
            </w:r>
          </w:p>
        </w:tc>
        <w:tc>
          <w:tcPr>
            <w:tcW w:w="484" w:type="pct"/>
            <w:shd w:val="clear" w:color="auto" w:fill="auto"/>
          </w:tcPr>
          <w:p w14:paraId="7055276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7CFC3035" w14:textId="77777777" w:rsidTr="00004318">
        <w:tc>
          <w:tcPr>
            <w:tcW w:w="598" w:type="pct"/>
            <w:vMerge/>
            <w:shd w:val="clear" w:color="auto" w:fill="auto"/>
          </w:tcPr>
          <w:p w14:paraId="5FA0AF8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</w:tcPr>
          <w:p w14:paraId="327AC6AE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2.3. Melakukan pengelolaan air limbah</w:t>
            </w:r>
          </w:p>
        </w:tc>
        <w:tc>
          <w:tcPr>
            <w:tcW w:w="885" w:type="pct"/>
            <w:shd w:val="clear" w:color="auto" w:fill="auto"/>
          </w:tcPr>
          <w:p w14:paraId="2B24C59F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2.3.c. Tersedianya informasi mengenai pengelolaan air limbah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CBE3862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3" w:type="pct"/>
            <w:shd w:val="clear" w:color="auto" w:fill="auto"/>
          </w:tcPr>
          <w:p w14:paraId="6885D65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717D10D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65FCC3C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2CEF8CE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7CC0F9A8" w14:textId="77777777" w:rsidTr="00004318">
        <w:tc>
          <w:tcPr>
            <w:tcW w:w="598" w:type="pct"/>
            <w:vMerge w:val="restart"/>
            <w:shd w:val="clear" w:color="auto" w:fill="auto"/>
          </w:tcPr>
          <w:p w14:paraId="71D2625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t>3. Efisiensi material/bahan</w:t>
            </w:r>
          </w:p>
        </w:tc>
        <w:tc>
          <w:tcPr>
            <w:tcW w:w="758" w:type="pct"/>
            <w:vMerge w:val="restart"/>
            <w:shd w:val="clear" w:color="auto" w:fill="auto"/>
          </w:tcPr>
          <w:p w14:paraId="2F1415B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3.1. Penggunaan bahan pembersih sanitasi yang ramah lingkungan</w:t>
            </w:r>
          </w:p>
        </w:tc>
        <w:tc>
          <w:tcPr>
            <w:tcW w:w="885" w:type="pct"/>
            <w:shd w:val="clear" w:color="auto" w:fill="auto"/>
          </w:tcPr>
          <w:p w14:paraId="3091495F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3.1.c. Tersedianya informasi mengenai bahan pembersih sanitasi yang digunakan ramah lingkungan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0B89714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14:paraId="5488C4BD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1DF064C6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2A56B8CD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5BFC652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78AAFFCB" w14:textId="77777777" w:rsidTr="00004318">
        <w:tc>
          <w:tcPr>
            <w:tcW w:w="598" w:type="pct"/>
            <w:vMerge/>
            <w:shd w:val="clear" w:color="auto" w:fill="auto"/>
          </w:tcPr>
          <w:p w14:paraId="12368B3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5188312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14:paraId="70D33D8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3.1.d. Tersedianya panduan kepada pengunjung mengenai perilaku penggunaan bahan pembersih sanitasi yang ramah lingkungan 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2ED1885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14:paraId="0CD29F7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073CDA3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448C7A7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Tersedia panduan kepada pengunjung mengenai perilaku penggunaan bahan pembersih sanitasi yang ramah lingkungan.</w:t>
            </w:r>
          </w:p>
        </w:tc>
        <w:tc>
          <w:tcPr>
            <w:tcW w:w="484" w:type="pct"/>
            <w:shd w:val="clear" w:color="auto" w:fill="auto"/>
          </w:tcPr>
          <w:p w14:paraId="5C425B0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649F16F6" w14:textId="77777777" w:rsidTr="00004318">
        <w:tc>
          <w:tcPr>
            <w:tcW w:w="598" w:type="pct"/>
            <w:vMerge/>
            <w:shd w:val="clear" w:color="auto" w:fill="auto"/>
          </w:tcPr>
          <w:p w14:paraId="5324104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</w:tcPr>
          <w:p w14:paraId="29920FB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3.2. Penggunaan plastik dan kertas secara efisien</w:t>
            </w:r>
          </w:p>
        </w:tc>
        <w:tc>
          <w:tcPr>
            <w:tcW w:w="885" w:type="pct"/>
            <w:shd w:val="clear" w:color="auto" w:fill="auto"/>
          </w:tcPr>
          <w:p w14:paraId="63710291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3.2.c. Tersedianya informasi pelaksanaan efisiensi dalam penggunaan plastik dan kertas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17C6BE4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53" w:type="pct"/>
            <w:shd w:val="clear" w:color="auto" w:fill="auto"/>
          </w:tcPr>
          <w:p w14:paraId="1D43BCEF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4AB3CBA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6E98BF2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lisan ataupun tulisan. Jika secara lisan dapat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74EA893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4D3FF523" w14:textId="77777777" w:rsidTr="00004318">
        <w:tc>
          <w:tcPr>
            <w:tcW w:w="598" w:type="pct"/>
            <w:vMerge/>
            <w:shd w:val="clear" w:color="auto" w:fill="auto"/>
          </w:tcPr>
          <w:p w14:paraId="4640D1AE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</w:tcPr>
          <w:p w14:paraId="3FB8D2C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14:paraId="307B22F1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3.2.d. Tersedianya panduan kepada pengunjung mengenai perilaku penggunaan plastik dan kertas yang ramah lingkungan.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EF83AAF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53" w:type="pct"/>
            <w:shd w:val="clear" w:color="auto" w:fill="auto"/>
          </w:tcPr>
          <w:p w14:paraId="13F0423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0327F39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2EB8E4FD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Tersedia panduan kepada pengunjung mengenai perilaku penggunaan dan efisiensi penggunaan plastik dan kertas .</w:t>
            </w:r>
          </w:p>
        </w:tc>
        <w:tc>
          <w:tcPr>
            <w:tcW w:w="484" w:type="pct"/>
            <w:shd w:val="clear" w:color="auto" w:fill="auto"/>
          </w:tcPr>
          <w:p w14:paraId="06357E6E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4EBAE45A" w14:textId="77777777" w:rsidTr="00004318">
        <w:tc>
          <w:tcPr>
            <w:tcW w:w="598" w:type="pct"/>
            <w:vMerge w:val="restart"/>
            <w:shd w:val="clear" w:color="auto" w:fill="auto"/>
          </w:tcPr>
          <w:p w14:paraId="29AC1BE1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4.  Pengelolaan sampah</w:t>
            </w:r>
          </w:p>
        </w:tc>
        <w:tc>
          <w:tcPr>
            <w:tcW w:w="758" w:type="pct"/>
            <w:vMerge w:val="restart"/>
            <w:shd w:val="clear" w:color="auto" w:fill="auto"/>
          </w:tcPr>
          <w:p w14:paraId="4AB64A4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4.1 Pewadahan sampah</w:t>
            </w:r>
          </w:p>
        </w:tc>
        <w:tc>
          <w:tcPr>
            <w:tcW w:w="885" w:type="pct"/>
            <w:shd w:val="clear" w:color="auto" w:fill="auto"/>
          </w:tcPr>
          <w:p w14:paraId="4E4B45F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4.1.c. Tersedianya informasi/pengenal pewadahan sampah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8C861A9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53" w:type="pct"/>
            <w:shd w:val="clear" w:color="auto" w:fill="auto"/>
          </w:tcPr>
          <w:p w14:paraId="7A57621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0559FF92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68AE2BF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Terdapat informasi secara tertulis di wadah sampah.</w:t>
            </w:r>
          </w:p>
        </w:tc>
        <w:tc>
          <w:tcPr>
            <w:tcW w:w="484" w:type="pct"/>
            <w:shd w:val="clear" w:color="auto" w:fill="auto"/>
          </w:tcPr>
          <w:p w14:paraId="7CD9E88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11A0B0E2" w14:textId="77777777" w:rsidTr="00004318">
        <w:tc>
          <w:tcPr>
            <w:tcW w:w="598" w:type="pct"/>
            <w:vMerge/>
            <w:shd w:val="clear" w:color="auto" w:fill="auto"/>
          </w:tcPr>
          <w:p w14:paraId="72D73206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44A70E82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14:paraId="57E474A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4.1.d. Tersedianya panduan kepada pengunjung mengenai penggunaan  tempat sampah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25C2C4B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253" w:type="pct"/>
            <w:shd w:val="clear" w:color="auto" w:fill="auto"/>
          </w:tcPr>
          <w:p w14:paraId="551C1C3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3273B4F6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1BF21DAE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Tersedia panduan kepada pengunjung mengenai penggunaan tempat sampah.</w:t>
            </w:r>
          </w:p>
        </w:tc>
        <w:tc>
          <w:tcPr>
            <w:tcW w:w="484" w:type="pct"/>
            <w:shd w:val="clear" w:color="auto" w:fill="auto"/>
          </w:tcPr>
          <w:p w14:paraId="32696DA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61341C7B" w14:textId="77777777" w:rsidTr="00004318">
        <w:tc>
          <w:tcPr>
            <w:tcW w:w="598" w:type="pct"/>
            <w:vMerge/>
            <w:shd w:val="clear" w:color="auto" w:fill="auto"/>
          </w:tcPr>
          <w:p w14:paraId="5CAE825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shd w:val="clear" w:color="auto" w:fill="auto"/>
          </w:tcPr>
          <w:p w14:paraId="2DCA9B25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4.2. Pemilahan sampah</w:t>
            </w:r>
          </w:p>
        </w:tc>
        <w:tc>
          <w:tcPr>
            <w:tcW w:w="885" w:type="pct"/>
            <w:shd w:val="clear" w:color="auto" w:fill="auto"/>
          </w:tcPr>
          <w:p w14:paraId="50AEB0F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4.2.c. Tersedianya informasi mengenai penggolongan dan pemilahan sampah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8C88584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14</w:t>
            </w:r>
          </w:p>
        </w:tc>
        <w:tc>
          <w:tcPr>
            <w:tcW w:w="253" w:type="pct"/>
            <w:shd w:val="clear" w:color="auto" w:fill="auto"/>
          </w:tcPr>
          <w:p w14:paraId="1FB70E3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4CA93816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12D9713F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Tersedia informasi (baik lisan maupun tulisan. Jika lisan dibuktikan dengan rekaman atau foto.</w:t>
            </w:r>
          </w:p>
        </w:tc>
        <w:tc>
          <w:tcPr>
            <w:tcW w:w="484" w:type="pct"/>
            <w:shd w:val="clear" w:color="auto" w:fill="auto"/>
          </w:tcPr>
          <w:p w14:paraId="3ADA3BC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301624D6" w14:textId="77777777" w:rsidTr="00004318">
        <w:tc>
          <w:tcPr>
            <w:tcW w:w="598" w:type="pct"/>
            <w:vMerge/>
            <w:shd w:val="clear" w:color="auto" w:fill="auto"/>
          </w:tcPr>
          <w:p w14:paraId="273576B3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4917669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14:paraId="21C7F6E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4.2.d. Tersedianya panduan kepada pengunjung mengenai pemilahan sampah 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F58481A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  <w:tc>
          <w:tcPr>
            <w:tcW w:w="253" w:type="pct"/>
            <w:shd w:val="clear" w:color="auto" w:fill="auto"/>
          </w:tcPr>
          <w:p w14:paraId="48D2BFCC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5814D158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31B00DD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Tersedianya  panduan kepada pengunjung mengenai pemilahan sampah dari sumber.</w:t>
            </w:r>
          </w:p>
        </w:tc>
        <w:tc>
          <w:tcPr>
            <w:tcW w:w="484" w:type="pct"/>
            <w:shd w:val="clear" w:color="auto" w:fill="auto"/>
          </w:tcPr>
          <w:p w14:paraId="4A0EAD2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317130AC" w14:textId="77777777" w:rsidTr="00004318">
        <w:tc>
          <w:tcPr>
            <w:tcW w:w="598" w:type="pct"/>
            <w:vMerge/>
            <w:shd w:val="clear" w:color="auto" w:fill="auto"/>
          </w:tcPr>
          <w:p w14:paraId="5C8FF3E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</w:tcPr>
          <w:p w14:paraId="198C5CFA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4.3  Pengumpulan sampah</w:t>
            </w:r>
          </w:p>
        </w:tc>
        <w:tc>
          <w:tcPr>
            <w:tcW w:w="885" w:type="pct"/>
            <w:shd w:val="clear" w:color="auto" w:fill="auto"/>
          </w:tcPr>
          <w:p w14:paraId="38D7B2E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4.3.c. Tersedianya informasi mengenai tempat pengumpulan sampah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5F7C1E1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16</w:t>
            </w:r>
          </w:p>
        </w:tc>
        <w:tc>
          <w:tcPr>
            <w:tcW w:w="253" w:type="pct"/>
            <w:shd w:val="clear" w:color="auto" w:fill="auto"/>
          </w:tcPr>
          <w:p w14:paraId="4CD5ACC7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3C52388B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394FF5B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Tersedia informasi (baik lisan maupun tulisan. Jika lisan dibuktikan dengan rekaman atau foto. </w:t>
            </w:r>
          </w:p>
        </w:tc>
        <w:tc>
          <w:tcPr>
            <w:tcW w:w="484" w:type="pct"/>
            <w:shd w:val="clear" w:color="auto" w:fill="auto"/>
          </w:tcPr>
          <w:p w14:paraId="4B91BFA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61268" w:rsidRPr="00B665F5" w14:paraId="5BC6BB58" w14:textId="77777777" w:rsidTr="00004318">
        <w:tc>
          <w:tcPr>
            <w:tcW w:w="598" w:type="pct"/>
            <w:vMerge/>
            <w:shd w:val="clear" w:color="auto" w:fill="auto"/>
          </w:tcPr>
          <w:p w14:paraId="5E64FE4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</w:tcPr>
          <w:p w14:paraId="637B50FD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4.4.  Pengangkutan sampah</w:t>
            </w:r>
          </w:p>
        </w:tc>
        <w:tc>
          <w:tcPr>
            <w:tcW w:w="885" w:type="pct"/>
            <w:shd w:val="clear" w:color="auto" w:fill="auto"/>
          </w:tcPr>
          <w:p w14:paraId="0CDEF565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4.4.c. Tersedianya informasi mengenai pengangkutan sampah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078E45A" w14:textId="77777777" w:rsidR="00D61268" w:rsidRPr="00B665F5" w:rsidRDefault="00D61268" w:rsidP="0000431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>17</w:t>
            </w:r>
          </w:p>
        </w:tc>
        <w:tc>
          <w:tcPr>
            <w:tcW w:w="253" w:type="pct"/>
            <w:shd w:val="clear" w:color="auto" w:fill="auto"/>
          </w:tcPr>
          <w:p w14:paraId="18DD4789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14:paraId="7C0E0964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8" w:type="pct"/>
          </w:tcPr>
          <w:p w14:paraId="418B2B21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  <w:r w:rsidRPr="00B665F5">
              <w:rPr>
                <w:rFonts w:ascii="Bookman Old Style" w:hAnsi="Bookman Old Style"/>
                <w:sz w:val="18"/>
                <w:szCs w:val="18"/>
              </w:rPr>
              <w:t xml:space="preserve">Tersedia informasi (baik lisan maupun tulisan. Jika lisan dibuktikan dengan rekaman atau foto. </w:t>
            </w:r>
          </w:p>
        </w:tc>
        <w:tc>
          <w:tcPr>
            <w:tcW w:w="484" w:type="pct"/>
            <w:shd w:val="clear" w:color="auto" w:fill="auto"/>
          </w:tcPr>
          <w:p w14:paraId="130256C0" w14:textId="77777777" w:rsidR="00D61268" w:rsidRPr="00B665F5" w:rsidRDefault="00D61268" w:rsidP="0000431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720E16A0" w14:textId="77777777" w:rsidR="00D61268" w:rsidRDefault="00D61268" w:rsidP="00D61268">
      <w:pPr>
        <w:pStyle w:val="ListParagraph"/>
        <w:spacing w:after="200"/>
        <w:ind w:left="284"/>
        <w:rPr>
          <w:rFonts w:ascii="Bookman Old Style" w:hAnsi="Bookman Old Style"/>
          <w:b/>
          <w:sz w:val="16"/>
          <w:szCs w:val="16"/>
        </w:rPr>
      </w:pPr>
    </w:p>
    <w:p w14:paraId="766C52FD" w14:textId="77777777" w:rsidR="00EF7DDB" w:rsidRDefault="00EF7DDB"/>
    <w:sectPr w:rsidR="00EF7DDB" w:rsidSect="00D6126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FBD"/>
    <w:multiLevelType w:val="multilevel"/>
    <w:tmpl w:val="CAB4176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6245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68"/>
    <w:rsid w:val="00A71AE7"/>
    <w:rsid w:val="00C76B17"/>
    <w:rsid w:val="00D61268"/>
    <w:rsid w:val="00E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B9DE"/>
  <w15:chartTrackingRefBased/>
  <w15:docId w15:val="{5FA580F5-6CC6-4743-A346-99E23779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1268"/>
    <w:pPr>
      <w:spacing w:after="0" w:line="276" w:lineRule="auto"/>
    </w:pPr>
    <w:rPr>
      <w:rFonts w:ascii="Arial" w:eastAsia="Arial" w:hAnsi="Arial" w:cs="Arial"/>
      <w:color w:val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Syakira</dc:creator>
  <cp:keywords/>
  <dc:description/>
  <cp:lastModifiedBy>Hana Syakira</cp:lastModifiedBy>
  <cp:revision>1</cp:revision>
  <dcterms:created xsi:type="dcterms:W3CDTF">2022-09-05T07:13:00Z</dcterms:created>
  <dcterms:modified xsi:type="dcterms:W3CDTF">2022-09-05T07:13:00Z</dcterms:modified>
</cp:coreProperties>
</file>